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43E3" w14:textId="77777777" w:rsidR="006F23E4" w:rsidRDefault="006F23E4" w:rsidP="00554035">
      <w:pPr>
        <w:spacing w:after="0"/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14:paraId="73D46243" w14:textId="62958F31" w:rsidR="00554035" w:rsidRDefault="00554035" w:rsidP="00554035">
      <w:pPr>
        <w:spacing w:after="0"/>
        <w:jc w:val="center"/>
        <w:rPr>
          <w:rFonts w:ascii="Cambria" w:hAnsi="Cambria"/>
          <w:b/>
          <w:sz w:val="28"/>
        </w:rPr>
      </w:pPr>
      <w:r w:rsidRPr="00554035">
        <w:rPr>
          <w:rFonts w:ascii="Cambria" w:hAnsi="Cambria"/>
          <w:b/>
          <w:color w:val="1F4E79" w:themeColor="accent1" w:themeShade="80"/>
          <w:sz w:val="28"/>
          <w:szCs w:val="28"/>
        </w:rPr>
        <w:t>Morbidity and Mortality Rounds</w:t>
      </w:r>
      <w:r>
        <w:rPr>
          <w:rFonts w:ascii="Cambria" w:hAnsi="Cambria"/>
          <w:b/>
          <w:color w:val="1F4E79" w:themeColor="accent1" w:themeShade="80"/>
          <w:sz w:val="28"/>
          <w:szCs w:val="28"/>
        </w:rPr>
        <w:t>: (Name)</w:t>
      </w:r>
      <w:r w:rsidRPr="00554035">
        <w:rPr>
          <w:color w:val="1F4E79" w:themeColor="accent1" w:themeShade="80"/>
        </w:rPr>
        <w:t xml:space="preserve"> </w:t>
      </w:r>
      <w:r w:rsidRPr="00554035">
        <w:rPr>
          <w:rFonts w:ascii="Cambria" w:hAnsi="Cambria"/>
          <w:b/>
          <w:color w:val="1F4E79" w:themeColor="accent1" w:themeShade="80"/>
          <w:sz w:val="28"/>
          <w:szCs w:val="28"/>
        </w:rPr>
        <w:t>Group</w:t>
      </w:r>
    </w:p>
    <w:p w14:paraId="35CAA0CC" w14:textId="77777777" w:rsidR="007D2BBD" w:rsidRDefault="008505C8" w:rsidP="00554035">
      <w:pPr>
        <w:spacing w:after="0"/>
        <w:jc w:val="center"/>
        <w:rPr>
          <w:rFonts w:ascii="Cambria" w:hAnsi="Cambria"/>
          <w:b/>
          <w:sz w:val="28"/>
        </w:rPr>
      </w:pPr>
      <w:r w:rsidRPr="00554035">
        <w:rPr>
          <w:rFonts w:ascii="Cambria" w:hAnsi="Cambria"/>
          <w:b/>
          <w:sz w:val="28"/>
        </w:rPr>
        <w:t>Terms of reference</w:t>
      </w:r>
    </w:p>
    <w:p w14:paraId="398780B6" w14:textId="77777777" w:rsidR="00B94698" w:rsidRDefault="00B94698" w:rsidP="00B94698">
      <w:pPr>
        <w:ind w:left="360"/>
      </w:pPr>
    </w:p>
    <w:p w14:paraId="1E618E5A" w14:textId="77777777" w:rsidR="00554035" w:rsidRDefault="00554035" w:rsidP="0055403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Context</w:t>
      </w:r>
    </w:p>
    <w:p w14:paraId="1F9ECA12" w14:textId="77777777" w:rsidR="00554035" w:rsidRDefault="00554035" w:rsidP="00554035">
      <w:r>
        <w:t xml:space="preserve">The Morbidity and Mortality Rounds (Name) Group </w:t>
      </w:r>
      <w:r w:rsidRPr="00554035">
        <w:t>provide medical staff with a forum for medical education, quality improvement and risk management.  The implementation of an evidence-informed structured M&amp;M rounds will provide a mechanism for linkage between Medical Staff and Quality and Safety, and contribute to the broader system-wide goal to impact on organisational quality and safety</w:t>
      </w:r>
      <w:r w:rsidR="00345D63">
        <w:t xml:space="preserve">. </w:t>
      </w:r>
    </w:p>
    <w:p w14:paraId="29BAD0EF" w14:textId="77777777" w:rsidR="00345D63" w:rsidRDefault="00345D63" w:rsidP="00345D63">
      <w:r>
        <w:t xml:space="preserve">Where necessary, discussion and reports leading are protected under Section 51 of the Evidence Act. </w:t>
      </w:r>
    </w:p>
    <w:p w14:paraId="7EEE23BB" w14:textId="6CB9F46F" w:rsidR="00A01760" w:rsidRDefault="00A01760" w:rsidP="00A01760">
      <w:r>
        <w:t xml:space="preserve">Section 51 </w:t>
      </w:r>
      <w:r w:rsidR="00553AC9">
        <w:t>may be used by this group to</w:t>
      </w:r>
      <w:r w:rsidR="00EC4943">
        <w:t xml:space="preserve"> carry out</w:t>
      </w:r>
      <w:r>
        <w:t xml:space="preserve"> activities for the purpose of studying, investigating or evaluating the provision of health care with a view to evaluating, controlling and reporting on clinical practice in a hospital or during transportation to and from that hospital in order to continually maintain and improve the safety and quality of patient care</w:t>
      </w:r>
      <w:r w:rsidR="00D06C42">
        <w:t>.</w:t>
      </w:r>
    </w:p>
    <w:p w14:paraId="26DB8BCF" w14:textId="77777777" w:rsidR="00554035" w:rsidRPr="00554035" w:rsidRDefault="00554035" w:rsidP="00554035">
      <w:pPr>
        <w:pStyle w:val="Heading2"/>
        <w:rPr>
          <w:sz w:val="22"/>
          <w:szCs w:val="22"/>
        </w:rPr>
      </w:pPr>
      <w:r w:rsidRPr="00554035">
        <w:rPr>
          <w:sz w:val="22"/>
          <w:szCs w:val="22"/>
        </w:rPr>
        <w:t>Role</w:t>
      </w:r>
    </w:p>
    <w:p w14:paraId="4F8F52E0" w14:textId="77777777" w:rsidR="00554035" w:rsidRDefault="00554035" w:rsidP="00B94698">
      <w:r>
        <w:t xml:space="preserve">The Morbidity and Mortality Rounds (Name) Group will </w:t>
      </w:r>
      <w:r w:rsidRPr="007D1987">
        <w:t>support a standardized approach to learn from clinical experiences and raise quality and safety issues through the organization</w:t>
      </w:r>
      <w:r>
        <w:t>.</w:t>
      </w:r>
    </w:p>
    <w:p w14:paraId="486B2A93" w14:textId="77777777" w:rsidR="00554035" w:rsidRPr="00554035" w:rsidRDefault="00554035" w:rsidP="00554035">
      <w:pPr>
        <w:pStyle w:val="Heading2"/>
        <w:rPr>
          <w:sz w:val="22"/>
          <w:szCs w:val="22"/>
        </w:rPr>
      </w:pPr>
      <w:r w:rsidRPr="00554035">
        <w:rPr>
          <w:sz w:val="22"/>
          <w:szCs w:val="22"/>
        </w:rPr>
        <w:t>Principles</w:t>
      </w:r>
    </w:p>
    <w:p w14:paraId="524D2304" w14:textId="77777777" w:rsidR="00554035" w:rsidRDefault="00554035" w:rsidP="00554035">
      <w:pPr>
        <w:spacing w:after="0"/>
      </w:pPr>
      <w:r>
        <w:t>The Morbidity and Mortality Rounds (Name) Group will align with the organizational values of Courage, Aspiration, Respect, and Empathy.  Additionally, it will be guided by the following principles:</w:t>
      </w:r>
    </w:p>
    <w:p w14:paraId="74453395" w14:textId="77777777" w:rsidR="00554035" w:rsidRDefault="00554035" w:rsidP="00554035">
      <w:pPr>
        <w:spacing w:after="0"/>
      </w:pPr>
    </w:p>
    <w:p w14:paraId="1DD8C0E2" w14:textId="77777777" w:rsidR="00554035" w:rsidRDefault="00554035" w:rsidP="00554035">
      <w:pPr>
        <w:numPr>
          <w:ilvl w:val="0"/>
          <w:numId w:val="4"/>
        </w:numPr>
        <w:spacing w:after="200" w:line="276" w:lineRule="auto"/>
      </w:pPr>
      <w:r>
        <w:t xml:space="preserve">Shared accountability for quality across the organization and between professions. </w:t>
      </w:r>
    </w:p>
    <w:p w14:paraId="1F6C6B5B" w14:textId="77777777" w:rsidR="00554035" w:rsidRDefault="00554035" w:rsidP="00554035">
      <w:pPr>
        <w:numPr>
          <w:ilvl w:val="0"/>
          <w:numId w:val="4"/>
        </w:numPr>
        <w:spacing w:after="200" w:line="276" w:lineRule="auto"/>
      </w:pPr>
      <w:r>
        <w:t xml:space="preserve">Shared information relating to quality in order to promote learning and spread of good practice.   </w:t>
      </w:r>
    </w:p>
    <w:p w14:paraId="1B6831B8" w14:textId="77777777" w:rsidR="00505A69" w:rsidRPr="00505A69" w:rsidRDefault="00554035" w:rsidP="00554035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44546A" w:themeColor="text2"/>
          <w:sz w:val="24"/>
        </w:rPr>
      </w:pPr>
      <w:r>
        <w:t xml:space="preserve">Timeliness and responsiveness, recognizing that matters presenting an urgent threat to safety are expedited, signaling quality and safety as a top priority in Island Health. </w:t>
      </w:r>
    </w:p>
    <w:p w14:paraId="1D5F3FF4" w14:textId="449175FD" w:rsidR="00554035" w:rsidRPr="00505A69" w:rsidRDefault="00554035" w:rsidP="00505A69">
      <w:pPr>
        <w:spacing w:after="0" w:line="240" w:lineRule="auto"/>
        <w:rPr>
          <w:rFonts w:eastAsia="Times New Roman"/>
          <w:b/>
          <w:bCs/>
          <w:color w:val="44546A" w:themeColor="text2"/>
          <w:sz w:val="24"/>
        </w:rPr>
      </w:pPr>
      <w:r>
        <w:t xml:space="preserve"> </w:t>
      </w:r>
    </w:p>
    <w:p w14:paraId="3C4D8879" w14:textId="77777777" w:rsidR="00505A69" w:rsidRPr="00340C08" w:rsidRDefault="00505A69" w:rsidP="00505A69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44546A" w:themeColor="text2"/>
          <w:sz w:val="24"/>
        </w:rPr>
      </w:pPr>
      <w:r>
        <w:t>A culture of continuous improvement and psychologically safe learning environments.</w:t>
      </w:r>
    </w:p>
    <w:p w14:paraId="0746F9CB" w14:textId="77777777" w:rsidR="00505A69" w:rsidRPr="00554035" w:rsidRDefault="00505A69" w:rsidP="00505A69">
      <w:pPr>
        <w:spacing w:after="0" w:line="240" w:lineRule="auto"/>
        <w:ind w:left="786"/>
        <w:rPr>
          <w:rFonts w:eastAsia="Times New Roman"/>
          <w:b/>
          <w:bCs/>
          <w:color w:val="44546A" w:themeColor="text2"/>
          <w:sz w:val="24"/>
        </w:rPr>
      </w:pPr>
    </w:p>
    <w:p w14:paraId="6A252876" w14:textId="77777777" w:rsidR="00554035" w:rsidRPr="00554035" w:rsidRDefault="00554035" w:rsidP="00554035">
      <w:pPr>
        <w:spacing w:after="0" w:line="240" w:lineRule="auto"/>
        <w:rPr>
          <w:rFonts w:eastAsia="Times New Roman"/>
          <w:b/>
          <w:bCs/>
          <w:color w:val="44546A" w:themeColor="text2"/>
          <w:sz w:val="24"/>
        </w:rPr>
      </w:pPr>
    </w:p>
    <w:p w14:paraId="2E8E393E" w14:textId="77777777" w:rsidR="00554035" w:rsidRDefault="00554035" w:rsidP="00554035">
      <w:pPr>
        <w:pStyle w:val="Heading2"/>
        <w:rPr>
          <w:sz w:val="22"/>
          <w:szCs w:val="22"/>
        </w:rPr>
      </w:pPr>
      <w:r w:rsidRPr="00554035">
        <w:rPr>
          <w:sz w:val="22"/>
          <w:szCs w:val="22"/>
        </w:rPr>
        <w:t>Reporting lines and responsibilities</w:t>
      </w:r>
    </w:p>
    <w:p w14:paraId="1CE04FEE" w14:textId="77777777" w:rsidR="00F02203" w:rsidRDefault="00F02203" w:rsidP="00F02203">
      <w:r>
        <w:t xml:space="preserve">The Morbidity and Mortality Rounds (Name) Group reports to the Health Authority Medical Advisory Committee via Morbidity and Mortality Rounds Working Group.  </w:t>
      </w:r>
      <w:r w:rsidRPr="0031633B">
        <w:t xml:space="preserve"> </w:t>
      </w:r>
    </w:p>
    <w:p w14:paraId="6467101C" w14:textId="77777777" w:rsidR="00F02203" w:rsidRDefault="00F02203" w:rsidP="00F02203">
      <w:pPr>
        <w:rPr>
          <w:b/>
        </w:rPr>
      </w:pPr>
      <w:r>
        <w:t>The Morbidity and Mortality Rounds (Name) Group reports the Bottom Line/Action items to (name) Clinical Governance structure.</w:t>
      </w:r>
    </w:p>
    <w:p w14:paraId="757574D4" w14:textId="77777777" w:rsidR="00554035" w:rsidRDefault="00554035" w:rsidP="00B94698">
      <w:pPr>
        <w:rPr>
          <w:b/>
        </w:rPr>
      </w:pPr>
    </w:p>
    <w:p w14:paraId="360FE818" w14:textId="77777777" w:rsidR="00B94698" w:rsidRPr="00B94698" w:rsidRDefault="00554035" w:rsidP="00B94698">
      <w:pPr>
        <w:rPr>
          <w:b/>
        </w:rPr>
      </w:pPr>
      <w:r>
        <w:rPr>
          <w:b/>
        </w:rPr>
        <w:lastRenderedPageBreak/>
        <w:t>Duties and Responsibilities</w:t>
      </w:r>
    </w:p>
    <w:p w14:paraId="1B47BCF5" w14:textId="77777777" w:rsidR="007D1987" w:rsidRDefault="007D1987" w:rsidP="007D1987">
      <w:pPr>
        <w:pStyle w:val="ListParagraph"/>
        <w:numPr>
          <w:ilvl w:val="0"/>
          <w:numId w:val="1"/>
        </w:numPr>
      </w:pPr>
      <w:r>
        <w:t>The principles of the Ottawa M&amp;M model are applied:</w:t>
      </w:r>
    </w:p>
    <w:p w14:paraId="2A28CD7C" w14:textId="77777777" w:rsidR="00A5516E" w:rsidRPr="007D1987" w:rsidRDefault="007D1987" w:rsidP="007D1987">
      <w:pPr>
        <w:pStyle w:val="ListParagraph"/>
        <w:numPr>
          <w:ilvl w:val="1"/>
          <w:numId w:val="1"/>
        </w:numPr>
      </w:pPr>
      <w:r w:rsidRPr="007D1987">
        <w:t>Standardized approach</w:t>
      </w:r>
    </w:p>
    <w:p w14:paraId="7A5FD6A6" w14:textId="77777777" w:rsidR="00A5516E" w:rsidRPr="007D1987" w:rsidRDefault="007D1987" w:rsidP="007D1987">
      <w:pPr>
        <w:pStyle w:val="ListParagraph"/>
        <w:numPr>
          <w:ilvl w:val="1"/>
          <w:numId w:val="1"/>
        </w:numPr>
      </w:pPr>
      <w:r w:rsidRPr="007D1987">
        <w:t>Learning opportunity</w:t>
      </w:r>
    </w:p>
    <w:p w14:paraId="49BA9EE2" w14:textId="77777777" w:rsidR="00A5516E" w:rsidRPr="007D1987" w:rsidRDefault="007D1987" w:rsidP="007D1987">
      <w:pPr>
        <w:pStyle w:val="ListParagraph"/>
        <w:numPr>
          <w:ilvl w:val="1"/>
          <w:numId w:val="1"/>
        </w:numPr>
      </w:pPr>
      <w:r w:rsidRPr="007D1987">
        <w:t>Protected discussion</w:t>
      </w:r>
    </w:p>
    <w:p w14:paraId="176E1241" w14:textId="77777777" w:rsidR="00A5516E" w:rsidRPr="007D1987" w:rsidRDefault="007D1987" w:rsidP="007D1987">
      <w:pPr>
        <w:pStyle w:val="ListParagraph"/>
        <w:numPr>
          <w:ilvl w:val="1"/>
          <w:numId w:val="1"/>
        </w:numPr>
      </w:pPr>
      <w:r w:rsidRPr="007D1987">
        <w:t>Medical education</w:t>
      </w:r>
    </w:p>
    <w:p w14:paraId="74BF0C65" w14:textId="77777777" w:rsidR="00A5516E" w:rsidRPr="007D1987" w:rsidRDefault="007D1987" w:rsidP="007D1987">
      <w:pPr>
        <w:pStyle w:val="ListParagraph"/>
        <w:numPr>
          <w:ilvl w:val="1"/>
          <w:numId w:val="1"/>
        </w:numPr>
      </w:pPr>
      <w:r w:rsidRPr="007D1987">
        <w:t>Quality improvement</w:t>
      </w:r>
    </w:p>
    <w:p w14:paraId="604B7527" w14:textId="77777777" w:rsidR="00A5516E" w:rsidRPr="007D1987" w:rsidRDefault="007D1987" w:rsidP="007D1987">
      <w:pPr>
        <w:pStyle w:val="ListParagraph"/>
        <w:numPr>
          <w:ilvl w:val="1"/>
          <w:numId w:val="1"/>
        </w:numPr>
      </w:pPr>
      <w:r w:rsidRPr="007D1987">
        <w:t>Risk management</w:t>
      </w:r>
    </w:p>
    <w:p w14:paraId="4E79EE52" w14:textId="77777777" w:rsidR="00F02203" w:rsidRDefault="00F02203" w:rsidP="00F02203">
      <w:pPr>
        <w:pStyle w:val="ListParagraph"/>
        <w:numPr>
          <w:ilvl w:val="0"/>
          <w:numId w:val="1"/>
        </w:numPr>
      </w:pPr>
      <w:r>
        <w:t xml:space="preserve">The group has an identified Clinical Governance structure for reporting </w:t>
      </w:r>
    </w:p>
    <w:p w14:paraId="36B8A28C" w14:textId="77777777" w:rsidR="00F02203" w:rsidRDefault="00F02203" w:rsidP="00F02203">
      <w:pPr>
        <w:pStyle w:val="ListParagraph"/>
        <w:numPr>
          <w:ilvl w:val="0"/>
          <w:numId w:val="1"/>
        </w:numPr>
      </w:pPr>
      <w:r>
        <w:t>The group shares the “Bottom Line/Action item” slide with HAMAC M&amp;M working group and the identified Clinical Governance structure</w:t>
      </w:r>
    </w:p>
    <w:p w14:paraId="470E4D9B" w14:textId="77777777" w:rsidR="007D1987" w:rsidRDefault="007D1987" w:rsidP="007D1987">
      <w:pPr>
        <w:pStyle w:val="ListParagraph"/>
        <w:numPr>
          <w:ilvl w:val="0"/>
          <w:numId w:val="1"/>
        </w:numPr>
      </w:pPr>
      <w:r>
        <w:t>Reviews are case-b</w:t>
      </w:r>
      <w:r w:rsidR="0029623B">
        <w:t>ased</w:t>
      </w:r>
      <w:r>
        <w:t xml:space="preserve"> </w:t>
      </w:r>
    </w:p>
    <w:p w14:paraId="0AC3FCE4" w14:textId="77777777" w:rsidR="0029623B" w:rsidRDefault="0029623B" w:rsidP="007D1987">
      <w:pPr>
        <w:pStyle w:val="ListParagraph"/>
        <w:numPr>
          <w:ilvl w:val="0"/>
          <w:numId w:val="1"/>
        </w:numPr>
      </w:pPr>
      <w:r>
        <w:t>Rounds occur regularly</w:t>
      </w:r>
    </w:p>
    <w:p w14:paraId="1BC9788B" w14:textId="77777777" w:rsidR="0029623B" w:rsidRDefault="0029623B" w:rsidP="007D1987">
      <w:pPr>
        <w:pStyle w:val="ListParagraph"/>
        <w:numPr>
          <w:ilvl w:val="0"/>
          <w:numId w:val="1"/>
        </w:numPr>
      </w:pPr>
      <w:r>
        <w:t>Multidisciplinary involvement recommended</w:t>
      </w:r>
    </w:p>
    <w:p w14:paraId="1B222B70" w14:textId="77777777" w:rsidR="007D1987" w:rsidRDefault="007D1987" w:rsidP="007D1987">
      <w:pPr>
        <w:pStyle w:val="ListParagraph"/>
        <w:numPr>
          <w:ilvl w:val="0"/>
          <w:numId w:val="1"/>
        </w:numPr>
      </w:pPr>
      <w:r>
        <w:t>Lessons learned focus on cognitive bias and/or system factors</w:t>
      </w:r>
    </w:p>
    <w:p w14:paraId="08E93158" w14:textId="1999D622" w:rsidR="00B94698" w:rsidRPr="00722866" w:rsidRDefault="00A01760" w:rsidP="00B94698">
      <w:r>
        <w:t xml:space="preserve">Matters Reviewed by the Committee: </w:t>
      </w:r>
    </w:p>
    <w:p w14:paraId="632869BE" w14:textId="77777777" w:rsidR="00895530" w:rsidRDefault="00895530" w:rsidP="00895530">
      <w:r>
        <w:t xml:space="preserve">The Committee shall review matters which may give rise to quality of care concerns. </w:t>
      </w:r>
    </w:p>
    <w:p w14:paraId="7516C5A5" w14:textId="77777777" w:rsidR="00B94698" w:rsidRDefault="00B94698" w:rsidP="00895530">
      <w:r>
        <w:t xml:space="preserve">Preference is for </w:t>
      </w:r>
      <w:r w:rsidRPr="007D1987">
        <w:t xml:space="preserve">cases </w:t>
      </w:r>
      <w:r>
        <w:t>to be</w:t>
      </w:r>
      <w:r w:rsidRPr="007D1987">
        <w:t xml:space="preserve"> presented by those who were involved directly, not reviewed by a third party. This format is different from critical incident analysis framework, although may be used as an adjunct.</w:t>
      </w:r>
    </w:p>
    <w:p w14:paraId="05A9527E" w14:textId="77777777" w:rsidR="00B94698" w:rsidRPr="007D1987" w:rsidRDefault="00B94698" w:rsidP="00895530">
      <w:r>
        <w:t>Cases reviewed in M&amp;M rounds that have not yet been reported in PSLS, and are found to have elements of patient safety</w:t>
      </w:r>
      <w:r w:rsidR="00722866">
        <w:t xml:space="preserve"> </w:t>
      </w:r>
      <w:r>
        <w:t xml:space="preserve">should be reported in PSLS to ensure comprehensive tracking.  Review findings may be included at the time of retrospective reporting and the PSLS file closed off.  </w:t>
      </w:r>
    </w:p>
    <w:p w14:paraId="44CD4715" w14:textId="77777777" w:rsidR="007D1987" w:rsidRPr="007D1987" w:rsidRDefault="007D1987" w:rsidP="007D1987">
      <w:pPr>
        <w:rPr>
          <w:b/>
        </w:rPr>
      </w:pPr>
      <w:r>
        <w:rPr>
          <w:b/>
        </w:rPr>
        <w:t>Case Selection</w:t>
      </w:r>
    </w:p>
    <w:p w14:paraId="122CB916" w14:textId="77777777" w:rsidR="007D1987" w:rsidRDefault="007D1987" w:rsidP="007D1987">
      <w:r>
        <w:t>It is strongly recommended that cases reviewed meet the following criteria:</w:t>
      </w:r>
    </w:p>
    <w:p w14:paraId="58C54D45" w14:textId="77777777" w:rsidR="00A5516E" w:rsidRPr="007D1987" w:rsidRDefault="007D1987" w:rsidP="007D1987">
      <w:pPr>
        <w:numPr>
          <w:ilvl w:val="0"/>
          <w:numId w:val="3"/>
        </w:numPr>
      </w:pPr>
      <w:r w:rsidRPr="007D1987">
        <w:t>Adverse outcome such as death, disability, harm, injury, or a near miss (potential harm avoided – for example, a  patient given incorrect medication due to mislabeling of syringe – potential for harm but the patient ultimately wasn’t affected)</w:t>
      </w:r>
    </w:p>
    <w:p w14:paraId="24322676" w14:textId="77777777" w:rsidR="00A5516E" w:rsidRDefault="007D1987" w:rsidP="007D1987">
      <w:pPr>
        <w:numPr>
          <w:ilvl w:val="0"/>
          <w:numId w:val="3"/>
        </w:numPr>
      </w:pPr>
      <w:r w:rsidRPr="007D1987">
        <w:t>Lessons to be learned about cognitive biases and/or system issues</w:t>
      </w:r>
    </w:p>
    <w:p w14:paraId="32FA40E7" w14:textId="77777777" w:rsidR="008505C8" w:rsidRDefault="008505C8" w:rsidP="007D1987">
      <w:pPr>
        <w:numPr>
          <w:ilvl w:val="0"/>
          <w:numId w:val="3"/>
        </w:numPr>
      </w:pPr>
      <w:r>
        <w:t>Opportunities for improvement can be acted upon</w:t>
      </w:r>
    </w:p>
    <w:p w14:paraId="4598B50F" w14:textId="77777777" w:rsidR="007D1987" w:rsidRDefault="007D1987" w:rsidP="007D1987"/>
    <w:p w14:paraId="0E66E3CF" w14:textId="77777777" w:rsidR="004D5BD2" w:rsidRDefault="004D5BD2" w:rsidP="004D5BD2">
      <w:pPr>
        <w:pStyle w:val="Heading2"/>
        <w:rPr>
          <w:sz w:val="22"/>
          <w:szCs w:val="22"/>
        </w:rPr>
      </w:pPr>
      <w:r w:rsidRPr="004D5BD2">
        <w:rPr>
          <w:sz w:val="22"/>
          <w:szCs w:val="22"/>
        </w:rPr>
        <w:t>Leadership, membership and decision-making</w:t>
      </w:r>
    </w:p>
    <w:p w14:paraId="1C3E2A22" w14:textId="77777777" w:rsidR="004D5BD2" w:rsidRPr="005373F4" w:rsidRDefault="004D5BD2" w:rsidP="004D5BD2">
      <w:r>
        <w:t>An M&amp;M rounds facilitator will be identified.</w:t>
      </w:r>
    </w:p>
    <w:p w14:paraId="17E31B18" w14:textId="77777777" w:rsidR="004D5BD2" w:rsidRDefault="004D5BD2" w:rsidP="004D5BD2">
      <w:pPr>
        <w:spacing w:after="0" w:line="240" w:lineRule="auto"/>
        <w:rPr>
          <w:b/>
        </w:rPr>
      </w:pPr>
      <w:r w:rsidRPr="0031633B">
        <w:rPr>
          <w:b/>
        </w:rPr>
        <w:t>Membership</w:t>
      </w:r>
      <w:r>
        <w:rPr>
          <w:b/>
        </w:rPr>
        <w:t xml:space="preserve"> </w:t>
      </w:r>
    </w:p>
    <w:p w14:paraId="7E9318CB" w14:textId="77777777" w:rsidR="004D5BD2" w:rsidRDefault="004D5BD2" w:rsidP="004D5BD2">
      <w:pPr>
        <w:spacing w:after="0" w:line="240" w:lineRule="auto"/>
      </w:pPr>
    </w:p>
    <w:p w14:paraId="6C2B22F9" w14:textId="77777777" w:rsidR="00A01760" w:rsidRDefault="004D5BD2" w:rsidP="004D5BD2">
      <w:pPr>
        <w:spacing w:after="120"/>
      </w:pPr>
      <w:r>
        <w:t>All medical staff and multidisciplinary colleagues are eligible for membership.</w:t>
      </w:r>
    </w:p>
    <w:p w14:paraId="4DE994C8" w14:textId="77777777" w:rsidR="004D5BD2" w:rsidRDefault="004D5BD2" w:rsidP="004D5BD2">
      <w:pPr>
        <w:spacing w:after="120"/>
      </w:pPr>
      <w:r w:rsidRPr="007C5BA3">
        <w:lastRenderedPageBreak/>
        <w:t xml:space="preserve">Normally, decisions will be taken by consensus. </w:t>
      </w:r>
      <w:r>
        <w:t>Where consensus cannot be reached, decision will be by majority vote.</w:t>
      </w:r>
    </w:p>
    <w:p w14:paraId="14FD8CE8" w14:textId="77777777" w:rsidR="004D5BD2" w:rsidRPr="007C5BA3" w:rsidRDefault="004D5BD2" w:rsidP="004D5BD2">
      <w:pPr>
        <w:spacing w:after="120"/>
      </w:pPr>
      <w:r>
        <w:t>Membership will be reviewed every 2 years</w:t>
      </w:r>
      <w:r w:rsidRPr="007C5BA3">
        <w:t xml:space="preserve"> or more frequently, if required.</w:t>
      </w:r>
    </w:p>
    <w:p w14:paraId="5E13685C" w14:textId="77777777" w:rsidR="004D5BD2" w:rsidRDefault="004D5BD2" w:rsidP="004D5BD2">
      <w:pPr>
        <w:spacing w:after="120"/>
      </w:pPr>
      <w:r w:rsidRPr="007C5BA3">
        <w:t xml:space="preserve">Quorum will be </w:t>
      </w:r>
      <w:r>
        <w:t>those in attendance</w:t>
      </w:r>
      <w:r w:rsidRPr="007C5BA3">
        <w:t>.</w:t>
      </w:r>
    </w:p>
    <w:p w14:paraId="35394A21" w14:textId="77777777" w:rsidR="004D5BD2" w:rsidRPr="004D5BD2" w:rsidRDefault="004D5BD2" w:rsidP="004D5BD2">
      <w:pPr>
        <w:pStyle w:val="Heading2"/>
        <w:rPr>
          <w:sz w:val="22"/>
          <w:szCs w:val="22"/>
        </w:rPr>
      </w:pPr>
      <w:r w:rsidRPr="004D5BD2">
        <w:rPr>
          <w:sz w:val="22"/>
          <w:szCs w:val="22"/>
        </w:rPr>
        <w:t>Conduct of meetings</w:t>
      </w:r>
    </w:p>
    <w:p w14:paraId="71DD9626" w14:textId="77777777" w:rsidR="004D5BD2" w:rsidRPr="00F12CBF" w:rsidRDefault="004D5BD2" w:rsidP="004D5BD2">
      <w:pPr>
        <w:pStyle w:val="Heading4"/>
      </w:pPr>
      <w:r>
        <w:t>Ground rules</w:t>
      </w:r>
    </w:p>
    <w:p w14:paraId="5CD6188E" w14:textId="77777777" w:rsidR="004D5BD2" w:rsidRPr="007C5BA3" w:rsidRDefault="004D5BD2" w:rsidP="004D5BD2">
      <w:pPr>
        <w:numPr>
          <w:ilvl w:val="0"/>
          <w:numId w:val="5"/>
        </w:numPr>
        <w:spacing w:after="120" w:line="240" w:lineRule="auto"/>
      </w:pPr>
      <w:r w:rsidRPr="007C5BA3">
        <w:t>Meet</w:t>
      </w:r>
      <w:r>
        <w:t>ings will begin and end on time.</w:t>
      </w:r>
    </w:p>
    <w:p w14:paraId="1C78D708" w14:textId="77777777" w:rsidR="004D5BD2" w:rsidRDefault="004D5BD2" w:rsidP="004D5BD2">
      <w:pPr>
        <w:numPr>
          <w:ilvl w:val="0"/>
          <w:numId w:val="5"/>
        </w:numPr>
        <w:spacing w:after="120" w:line="240" w:lineRule="auto"/>
      </w:pPr>
      <w:r w:rsidRPr="007C5BA3">
        <w:t>Ideally, all decisions will be by consensus.</w:t>
      </w:r>
    </w:p>
    <w:p w14:paraId="62DE0068" w14:textId="77777777" w:rsidR="004D5BD2" w:rsidRPr="007C5BA3" w:rsidRDefault="004D5BD2" w:rsidP="004D5BD2">
      <w:pPr>
        <w:numPr>
          <w:ilvl w:val="0"/>
          <w:numId w:val="5"/>
        </w:numPr>
        <w:spacing w:after="120" w:line="240" w:lineRule="auto"/>
      </w:pPr>
      <w:r>
        <w:t>Psychological safety principles will apply.</w:t>
      </w:r>
    </w:p>
    <w:p w14:paraId="79C27FF4" w14:textId="77777777" w:rsidR="007D1987" w:rsidRPr="007D1987" w:rsidRDefault="007D1987" w:rsidP="007D1987"/>
    <w:p w14:paraId="35B39C3E" w14:textId="77777777" w:rsidR="007D1987" w:rsidRDefault="007D1987" w:rsidP="007D1987"/>
    <w:sectPr w:rsidR="007D198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C96C" w14:textId="77777777" w:rsidR="004D4BC8" w:rsidRDefault="004D4BC8" w:rsidP="007D1987">
      <w:pPr>
        <w:spacing w:after="0" w:line="240" w:lineRule="auto"/>
      </w:pPr>
      <w:r>
        <w:separator/>
      </w:r>
    </w:p>
  </w:endnote>
  <w:endnote w:type="continuationSeparator" w:id="0">
    <w:p w14:paraId="77B3ACF8" w14:textId="77777777" w:rsidR="004D4BC8" w:rsidRDefault="004D4BC8" w:rsidP="007D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949D" w14:textId="36FEDB30" w:rsidR="001C662D" w:rsidRDefault="00930EC4">
    <w:pPr>
      <w:pStyle w:val="Footer"/>
    </w:pPr>
    <w:r>
      <w:t>Updated: February 1, 2024</w:t>
    </w:r>
    <w:r>
      <w:br/>
    </w:r>
    <w:r w:rsidR="001C662D">
      <w:t xml:space="preserve">Drafted: </w:t>
    </w:r>
    <w:r w:rsidR="00505A69">
      <w:t>September 7</w:t>
    </w:r>
    <w:r w:rsidR="001C662D">
      <w:t>, 2021</w:t>
    </w:r>
    <w:r w:rsidR="001C662D">
      <w:ptab w:relativeTo="margin" w:alignment="center" w:leader="none"/>
    </w:r>
    <w:r w:rsidR="001C662D">
      <w:fldChar w:fldCharType="begin"/>
    </w:r>
    <w:r w:rsidR="001C662D">
      <w:instrText xml:space="preserve"> PAGE  \* Arabic  \* MERGEFORMAT </w:instrText>
    </w:r>
    <w:r w:rsidR="001C662D">
      <w:fldChar w:fldCharType="separate"/>
    </w:r>
    <w:r w:rsidR="0065053E">
      <w:rPr>
        <w:noProof/>
      </w:rPr>
      <w:t>1</w:t>
    </w:r>
    <w:r w:rsidR="001C662D">
      <w:fldChar w:fldCharType="end"/>
    </w:r>
  </w:p>
  <w:p w14:paraId="311823AD" w14:textId="77777777" w:rsidR="00554035" w:rsidRDefault="0055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8D3F" w14:textId="77777777" w:rsidR="004D4BC8" w:rsidRDefault="004D4BC8" w:rsidP="007D1987">
      <w:pPr>
        <w:spacing w:after="0" w:line="240" w:lineRule="auto"/>
      </w:pPr>
      <w:r>
        <w:separator/>
      </w:r>
    </w:p>
  </w:footnote>
  <w:footnote w:type="continuationSeparator" w:id="0">
    <w:p w14:paraId="7611EE2C" w14:textId="77777777" w:rsidR="004D4BC8" w:rsidRDefault="004D4BC8" w:rsidP="007D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867"/>
    <w:multiLevelType w:val="hybridMultilevel"/>
    <w:tmpl w:val="328C8DF2"/>
    <w:lvl w:ilvl="0" w:tplc="1CA06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C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A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8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2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6E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091F34"/>
    <w:multiLevelType w:val="hybridMultilevel"/>
    <w:tmpl w:val="77BCC6D2"/>
    <w:lvl w:ilvl="0" w:tplc="04A0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24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44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A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5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3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C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E9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F7737"/>
    <w:multiLevelType w:val="hybridMultilevel"/>
    <w:tmpl w:val="EF48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83C66"/>
    <w:multiLevelType w:val="hybridMultilevel"/>
    <w:tmpl w:val="27E4DFAC"/>
    <w:lvl w:ilvl="0" w:tplc="5CB88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FA3"/>
    <w:multiLevelType w:val="hybridMultilevel"/>
    <w:tmpl w:val="ED626F0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4397443">
    <w:abstractNumId w:val="2"/>
  </w:num>
  <w:num w:numId="2" w16cid:durableId="753671941">
    <w:abstractNumId w:val="0"/>
  </w:num>
  <w:num w:numId="3" w16cid:durableId="361371370">
    <w:abstractNumId w:val="1"/>
  </w:num>
  <w:num w:numId="4" w16cid:durableId="158666249">
    <w:abstractNumId w:val="3"/>
  </w:num>
  <w:num w:numId="5" w16cid:durableId="1050302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87"/>
    <w:rsid w:val="000D573C"/>
    <w:rsid w:val="0012551A"/>
    <w:rsid w:val="001C662D"/>
    <w:rsid w:val="002663AE"/>
    <w:rsid w:val="0029623B"/>
    <w:rsid w:val="00345D63"/>
    <w:rsid w:val="00495478"/>
    <w:rsid w:val="004D4BC8"/>
    <w:rsid w:val="004D5BD2"/>
    <w:rsid w:val="00505A69"/>
    <w:rsid w:val="00553AC9"/>
    <w:rsid w:val="00554035"/>
    <w:rsid w:val="005769D4"/>
    <w:rsid w:val="005E4DE1"/>
    <w:rsid w:val="0065053E"/>
    <w:rsid w:val="006A6450"/>
    <w:rsid w:val="006F23E4"/>
    <w:rsid w:val="00716EEC"/>
    <w:rsid w:val="00722866"/>
    <w:rsid w:val="007D1987"/>
    <w:rsid w:val="007D2BBD"/>
    <w:rsid w:val="008505C8"/>
    <w:rsid w:val="00895530"/>
    <w:rsid w:val="00930EC4"/>
    <w:rsid w:val="00951A53"/>
    <w:rsid w:val="00954E95"/>
    <w:rsid w:val="00A01760"/>
    <w:rsid w:val="00A520A7"/>
    <w:rsid w:val="00A5516E"/>
    <w:rsid w:val="00B06600"/>
    <w:rsid w:val="00B94698"/>
    <w:rsid w:val="00C603F7"/>
    <w:rsid w:val="00D06C42"/>
    <w:rsid w:val="00DF30E9"/>
    <w:rsid w:val="00EC4943"/>
    <w:rsid w:val="00EF30FB"/>
    <w:rsid w:val="00F02203"/>
    <w:rsid w:val="00F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69E0"/>
  <w15:chartTrackingRefBased/>
  <w15:docId w15:val="{4F43C458-783F-4010-8999-B76D2FF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03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87"/>
  </w:style>
  <w:style w:type="paragraph" w:styleId="Footer">
    <w:name w:val="footer"/>
    <w:basedOn w:val="Normal"/>
    <w:link w:val="FooterChar"/>
    <w:uiPriority w:val="99"/>
    <w:unhideWhenUsed/>
    <w:rsid w:val="007D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87"/>
  </w:style>
  <w:style w:type="paragraph" w:styleId="ListParagraph">
    <w:name w:val="List Paragraph"/>
    <w:basedOn w:val="Normal"/>
    <w:uiPriority w:val="34"/>
    <w:qFormat/>
    <w:rsid w:val="007D19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5403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4D5B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5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6896-186E-41B5-A468-084E13ED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3652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Adele (Dr)</dc:creator>
  <cp:keywords/>
  <dc:description/>
  <cp:lastModifiedBy>Porter, Sarah</cp:lastModifiedBy>
  <cp:revision>8</cp:revision>
  <dcterms:created xsi:type="dcterms:W3CDTF">2024-02-02T19:05:00Z</dcterms:created>
  <dcterms:modified xsi:type="dcterms:W3CDTF">2024-02-08T19:20:00Z</dcterms:modified>
</cp:coreProperties>
</file>